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23" w:rsidRPr="00C44823" w:rsidRDefault="00C44823" w:rsidP="00C44823">
      <w:pPr>
        <w:pStyle w:val="1"/>
        <w:jc w:val="both"/>
        <w:rPr>
          <w:rFonts w:asciiTheme="minorHAnsi" w:hAnsiTheme="minorHAnsi" w:cstheme="minorHAnsi"/>
          <w:b w:val="0"/>
          <w:color w:val="auto"/>
        </w:rPr>
      </w:pPr>
      <w:bookmarkStart w:id="0" w:name="_GoBack"/>
      <w:bookmarkEnd w:id="0"/>
      <w:r w:rsidRPr="00C44823">
        <w:rPr>
          <w:rFonts w:asciiTheme="minorHAnsi" w:hAnsiTheme="minorHAnsi" w:cstheme="minorHAnsi"/>
          <w:b w:val="0"/>
          <w:color w:val="auto"/>
        </w:rPr>
        <w:t>Социальный проект «ЗОЖ – норма жизни!» по формированию модели здорового образа жизни семей с детьми. Новосибирская область</w:t>
      </w:r>
    </w:p>
    <w:p w:rsidR="00C44823" w:rsidRPr="00C44823" w:rsidRDefault="00C44823" w:rsidP="00C44823">
      <w:pPr>
        <w:rPr>
          <w:rFonts w:cstheme="minorHAnsi"/>
          <w:sz w:val="28"/>
          <w:szCs w:val="28"/>
        </w:rPr>
      </w:pPr>
    </w:p>
    <w:tbl>
      <w:tblPr>
        <w:tblStyle w:val="21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C44823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A2CF8" w:rsidRDefault="00C44823" w:rsidP="009A0D34">
            <w:pPr>
              <w:pStyle w:val="2"/>
              <w:outlineLvl w:val="1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1" w:name="_Toc143088994"/>
            <w:bookmarkStart w:id="2" w:name="_Toc143089981"/>
            <w:proofErr w:type="spellStart"/>
            <w:r w:rsidRPr="002A2CF8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  <w:t>Усть-Таркский</w:t>
            </w:r>
            <w:proofErr w:type="spellEnd"/>
            <w:r w:rsidRPr="002A2CF8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ru-RU"/>
              </w:rPr>
              <w:t xml:space="preserve"> район Новосибирской области.</w:t>
            </w:r>
            <w:bookmarkEnd w:id="1"/>
            <w:bookmarkEnd w:id="2"/>
          </w:p>
          <w:p w:rsidR="00C44823" w:rsidRPr="002A2CF8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823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A2CF8" w:rsidRDefault="00C44823" w:rsidP="009A0D3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C44823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2D256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2A2CF8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2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C44823" w:rsidRPr="006425E1" w:rsidRDefault="00C44823" w:rsidP="009A0D34">
            <w:pPr>
              <w:rPr>
                <w:rFonts w:ascii="Times New Roman" w:eastAsiaTheme="minorHAnsi" w:hAnsi="Times New Roman" w:cs="Times New Roman"/>
                <w:i/>
                <w:color w:val="FF0000"/>
                <w:sz w:val="28"/>
                <w:szCs w:val="28"/>
              </w:rPr>
            </w:pPr>
            <w:r w:rsidRPr="002A2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2A2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2A2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44823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семей, находящихся на стадии подготовки родителей к восстановлению в родительских правах или непосредственно после восстановления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семей, где родители восстановлены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5.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детско-родительских отношений; посттравматическими расстройствами, в том числе после психологических травм у ребенка (детей), полученных вследствие пережитых чрезвычайных ситуаций; наличием суицидальных намерений у ребенка или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91.</w:t>
            </w:r>
            <w:proofErr w:type="gramEnd"/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семей, принявших на воспитание детей-сирот и детей, оставшихся без попечения родителей, и нуждающихся в помощи по организации жизнедеятельности в интересах благополучия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115.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из семей с одним родителем, воспитывающих несовершеннолетних детей,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новорожденные, 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которых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намерение отказаться от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15.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16.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Родители, находящиеся на стадии подготовки к восстановлению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Родители, восстановленные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Родители в семьях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детско-родительских отношений и иной трудной жизненной ситуацией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90.</w:t>
            </w:r>
          </w:p>
          <w:p w:rsidR="00C44823" w:rsidRPr="00D17F60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Родители, принявшие на воспитание детей-сирот и детей, оставшихся без попечения родителей, и нуждающиеся в помощи по организации жизнедеятельности такой семьи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–76.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Родители из семей с одним родителем, воспитывающие несовершеннолетних детей,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новорожденные,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намерение отказаться от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9.</w:t>
            </w:r>
          </w:p>
        </w:tc>
      </w:tr>
      <w:tr w:rsidR="00C44823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01090E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проблемами являются:</w:t>
            </w:r>
          </w:p>
          <w:p w:rsidR="00C44823" w:rsidRPr="0001090E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лишение родителей родительских прав;</w:t>
            </w:r>
          </w:p>
          <w:p w:rsidR="00C44823" w:rsidRPr="0001090E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временное ограничение родителей в родительских правах; </w:t>
            </w:r>
          </w:p>
          <w:p w:rsidR="00C44823" w:rsidRPr="0001090E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намерения у родителей отказаться от ребенка;</w:t>
            </w:r>
          </w:p>
          <w:p w:rsidR="00C44823" w:rsidRPr="00016CDB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нарушение прав и законных интересов </w:t>
            </w:r>
            <w:r w:rsidRPr="0001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несовершеннолетних.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потребность в формировани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1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модели </w:t>
            </w:r>
            <w:r w:rsidRPr="004A7512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семей с детьми</w:t>
            </w:r>
            <w:r w:rsidRPr="0001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1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семейных ценностей.</w:t>
            </w:r>
          </w:p>
        </w:tc>
      </w:tr>
      <w:tr w:rsidR="00C44823" w:rsidRPr="002D2567" w:rsidTr="009A0D3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8F242A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эффективных механизмов, форм и методов межведомственного взаимодействия в решени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F2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проблемы социального сиротства. </w:t>
            </w:r>
          </w:p>
          <w:p w:rsidR="00C44823" w:rsidRPr="008F242A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и восстановление семейной среды развития и воспитания детей. 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2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модели здорового образа жизни.</w:t>
            </w:r>
          </w:p>
        </w:tc>
      </w:tr>
      <w:tr w:rsidR="00C44823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8F242A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Внедрение новых технологий и методик работы социальных служб, оказывающих помощь целевым группам.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2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Развитие добровольческих инициатив: привлечение волонтеров и добровольцев из числа заинтересованных лиц к организации досуга семьи, занятости, формирование модели ЗОЖ и семейных ценностей.</w:t>
            </w:r>
          </w:p>
        </w:tc>
      </w:tr>
      <w:tr w:rsidR="00C44823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79530A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Социальные технологии практики </w:t>
            </w:r>
            <w:r w:rsidRPr="0079530A">
              <w:rPr>
                <w:rFonts w:ascii="Times New Roman" w:hAnsi="Times New Roman" w:cs="Times New Roman"/>
                <w:sz w:val="28"/>
                <w:szCs w:val="28"/>
              </w:rPr>
              <w:t xml:space="preserve">«ЗОЖ – норма жизни!»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включают:</w:t>
            </w:r>
          </w:p>
          <w:p w:rsidR="00C44823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 в работу с семьями с детьми, находящимися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ги, творческие мастер-классы, психологические занятия в комнате психологической разгрузки, родительские лектории, направленн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сохранение психического и физического здоровья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целевых групп.</w:t>
            </w:r>
          </w:p>
          <w:p w:rsidR="00C44823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Т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ехнология </w:t>
            </w:r>
            <w:proofErr w:type="gramStart"/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экстренной</w:t>
            </w:r>
            <w:proofErr w:type="gramEnd"/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социальной помощи «Социальная скорая помощь»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на территории 13 поселений района выездной мобильной бригады специалистов социальной защиты населения для оказания социальных услуг целев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месту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жительства. Выезды осуществляются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4823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экстренном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порядке –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сигналу, поступившему от населения, семей, детей, специалистов органов системы профилактики безнадзорности и правонарушений несовершеннолетних и иных заинтересованных лиц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44823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плановом порядке (1 раз в месяц) с целью осуществления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 граждан, проведения консультаций, посещения квар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тир, оказания адресной помощи.</w:t>
            </w:r>
          </w:p>
          <w:p w:rsidR="00C44823" w:rsidRPr="0079530A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Проведение тренингов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</w:t>
            </w:r>
            <w:proofErr w:type="spellStart"/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4823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направленных на формирование базовых знаний о возрастных особенностях детей и подростков; </w:t>
            </w:r>
          </w:p>
          <w:p w:rsidR="00C44823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направленных на актуализацию позитивного эмоционального опыта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ознакомление со 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эффективного самоконтроля, контроля эмоций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823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ривлечение волонтеров и добровольцев к организации досуга семьи, занятости и пропаганде ЗОЖ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Организация Ш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вожатского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рамках которой осуществляется п</w:t>
            </w:r>
            <w:r w:rsidRPr="00795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одготовка вожатых для проведения мероприятий в лагерях дневного пребывания детей, организованных при образовательных организациях.</w:t>
            </w:r>
          </w:p>
        </w:tc>
      </w:tr>
      <w:tr w:rsidR="00C44823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724536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реализации проекта </w:t>
            </w:r>
            <w:r w:rsidRPr="00724536">
              <w:rPr>
                <w:rFonts w:ascii="Times New Roman" w:hAnsi="Times New Roman" w:cs="Times New Roman"/>
                <w:sz w:val="28"/>
                <w:szCs w:val="28"/>
              </w:rPr>
              <w:t xml:space="preserve">«ЗОЖ – норма жизни!» </w:t>
            </w: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удалось:</w:t>
            </w:r>
          </w:p>
          <w:p w:rsidR="00C44823" w:rsidRPr="00724536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уменьшить количество несовершеннолетних, состоящих на профилактическом учете, на 20 %, </w:t>
            </w:r>
          </w:p>
          <w:p w:rsidR="00C44823" w:rsidRPr="00724536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улучшить детско-родительские отношения в семьях целевых групп,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вовлеч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 и детей</w:t>
            </w:r>
            <w:r w:rsidRPr="007245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о</w:t>
            </w: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здоровительны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мероприятия</w:t>
            </w:r>
            <w:r w:rsidRPr="007245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проекта. </w:t>
            </w:r>
          </w:p>
        </w:tc>
      </w:tr>
      <w:tr w:rsidR="00C44823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885DFD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рабочей группы по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C66">
              <w:rPr>
                <w:rFonts w:ascii="Times New Roman" w:hAnsi="Times New Roman" w:cs="Times New Roman"/>
                <w:sz w:val="28"/>
                <w:szCs w:val="28"/>
              </w:rPr>
              <w:t xml:space="preserve">«ЗОЖ – норма </w:t>
            </w:r>
            <w:r w:rsidRPr="002A2CF8">
              <w:rPr>
                <w:rFonts w:ascii="Times New Roman" w:hAnsi="Times New Roman" w:cs="Times New Roman"/>
                <w:sz w:val="28"/>
                <w:szCs w:val="28"/>
              </w:rPr>
              <w:t>жизни!»</w:t>
            </w: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4823" w:rsidRPr="00885DFD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Формирование целевых групп.</w:t>
            </w:r>
          </w:p>
          <w:p w:rsidR="00C44823" w:rsidRPr="00885DFD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Обучение и стажировка специалистов, участвующих в реализации проекта.</w:t>
            </w:r>
          </w:p>
          <w:p w:rsidR="00C44823" w:rsidRPr="00885DFD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проекта. </w:t>
            </w:r>
          </w:p>
          <w:p w:rsidR="00C44823" w:rsidRPr="00885DFD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Мониторинг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C66">
              <w:rPr>
                <w:rFonts w:ascii="Times New Roman" w:hAnsi="Times New Roman" w:cs="Times New Roman"/>
                <w:sz w:val="28"/>
                <w:szCs w:val="28"/>
              </w:rPr>
              <w:t xml:space="preserve">«ЗОЖ – норма </w:t>
            </w:r>
            <w:r w:rsidRPr="002A2CF8">
              <w:rPr>
                <w:rFonts w:ascii="Times New Roman" w:hAnsi="Times New Roman" w:cs="Times New Roman"/>
                <w:sz w:val="28"/>
                <w:szCs w:val="28"/>
              </w:rPr>
              <w:t>жизни!»</w:t>
            </w: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Освещение результатов работы в СМИ, на интерне</w:t>
            </w:r>
            <w:proofErr w:type="gramStart"/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85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ресурсах.</w:t>
            </w:r>
          </w:p>
        </w:tc>
      </w:tr>
      <w:tr w:rsidR="00C44823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51616F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6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позволила через </w:t>
            </w:r>
            <w:proofErr w:type="spellStart"/>
            <w:r w:rsidRPr="00516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516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технологии вовлечь целевые группы в мероприятия проекта.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16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Преимущества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516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системности и тематической направленности 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516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4823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Ресурсное обеспечение практики</w:t>
            </w:r>
          </w:p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B3487C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базе общеобразовательных организаций созданы пункты </w:t>
            </w:r>
            <w:r w:rsidRPr="00B34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видеоконференцсвязи для проведения дистанционных консультаций квалифицированными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B34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 и детей по месту их жительства.</w:t>
            </w: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34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буклеты «Алкоголь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34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враг живого», «Наркотики: работа над ошибками»,  «Наркотики: миф и реальность», «Вред электронных сигарет». </w:t>
            </w:r>
          </w:p>
        </w:tc>
      </w:tr>
      <w:tr w:rsidR="00C44823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76293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Районная организация ветеранов-пенсионеров войны, труда, военной службы и правоохранительных органов </w:t>
            </w:r>
            <w:proofErr w:type="spellStart"/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Новосибирской области.</w:t>
            </w:r>
          </w:p>
          <w:p w:rsidR="00C44823" w:rsidRPr="0076293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4823" w:rsidRPr="0076293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Местная общественная молодежная организация по поддержке молодежных инициатив «ВМЕСТЕ».</w:t>
            </w:r>
          </w:p>
          <w:p w:rsidR="00C44823" w:rsidRPr="0076293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4823" w:rsidRPr="0076293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 Женсовет </w:t>
            </w:r>
            <w:proofErr w:type="spellStart"/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C44823" w:rsidRPr="0076293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НКО клуб «Ратник».</w:t>
            </w:r>
          </w:p>
        </w:tc>
      </w:tr>
      <w:tr w:rsidR="00C44823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C57CA0" w:rsidRDefault="00C44823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57C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C44823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3" w:rsidRPr="00016274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4823" w:rsidRPr="00016274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1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Усть-Таркского</w:t>
            </w:r>
            <w:proofErr w:type="spellEnd"/>
            <w:r w:rsidRPr="0001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2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C44823" w:rsidRPr="007301A3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2D2567" w:rsidRDefault="00C44823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632160, Новосибирская область, </w:t>
            </w:r>
            <w:proofErr w:type="spellStart"/>
            <w:r w:rsidRPr="00BD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Усть-Таркский</w:t>
            </w:r>
            <w:proofErr w:type="spellEnd"/>
            <w:r w:rsidRPr="00BD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с. Усть-Тарка, ул. Дзержинского, д. 7</w:t>
            </w:r>
          </w:p>
        </w:tc>
      </w:tr>
      <w:tr w:rsidR="00C44823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3" w:rsidRPr="002D256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C44823" w:rsidRPr="002D256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6425E1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D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Синяев</w:t>
            </w:r>
            <w:proofErr w:type="spellEnd"/>
            <w:r w:rsidRPr="00BD6C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</w:tr>
      <w:tr w:rsidR="00C44823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3" w:rsidRPr="002D256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</w:t>
            </w:r>
          </w:p>
          <w:p w:rsidR="00C44823" w:rsidRPr="002D256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1C2CE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Миллер Ирина Николаевна, заместитель главы администрации по </w:t>
            </w:r>
            <w:proofErr w:type="gramStart"/>
            <w:r w:rsidRPr="001C2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социальным</w:t>
            </w:r>
            <w:proofErr w:type="gramEnd"/>
            <w:r w:rsidRPr="001C2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вопросам социального развития администрации города </w:t>
            </w:r>
          </w:p>
          <w:p w:rsidR="00C44823" w:rsidRPr="001C2CE7" w:rsidRDefault="00C44823" w:rsidP="009A0D34">
            <w:pP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8"/>
                <w:szCs w:val="28"/>
                <w:lang w:eastAsia="ru-RU"/>
              </w:rPr>
            </w:pPr>
            <w:r w:rsidRPr="001C2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(383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72)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44823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2D256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1C2CE7" w:rsidRDefault="00C44823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1C2C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mirin1989@yandex.ru</w:t>
              </w:r>
            </w:hyperlink>
            <w:r w:rsidRPr="001C2C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44823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2D2567" w:rsidRDefault="00C44823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1C2CE7" w:rsidRDefault="00C44823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1C2CE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https://ust-tarka.nso.ru/</w:t>
              </w:r>
            </w:hyperlink>
            <w:r w:rsidRPr="001C2C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7652" w:rsidRDefault="00627652"/>
    <w:sectPr w:rsid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3"/>
    <w:rsid w:val="00627652"/>
    <w:rsid w:val="00C44823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23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823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4823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C44823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4482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23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823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4823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C44823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4482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-tarka.nso.ru/" TargetMode="External"/><Relationship Id="rId5" Type="http://schemas.openxmlformats.org/officeDocument/2006/relationships/hyperlink" Target="mailto:mirin198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2024-02-14T08:44:00Z</dcterms:created>
  <dcterms:modified xsi:type="dcterms:W3CDTF">2024-02-14T08:45:00Z</dcterms:modified>
</cp:coreProperties>
</file>