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7" w:rsidRPr="004E6013" w:rsidRDefault="006D03B7" w:rsidP="004E6013">
      <w:pPr>
        <w:contextualSpacing/>
        <w:jc w:val="center"/>
        <w:rPr>
          <w:sz w:val="24"/>
          <w:szCs w:val="24"/>
        </w:rPr>
      </w:pPr>
      <w:r w:rsidRPr="004E6013">
        <w:rPr>
          <w:sz w:val="24"/>
          <w:szCs w:val="24"/>
        </w:rPr>
        <w:t xml:space="preserve">Форма описания практики помощи детям и семьям с детьми, </w:t>
      </w:r>
    </w:p>
    <w:p w:rsidR="006D03B7" w:rsidRPr="004E6013" w:rsidRDefault="006D03B7" w:rsidP="004E6013">
      <w:pPr>
        <w:jc w:val="center"/>
        <w:rPr>
          <w:sz w:val="24"/>
          <w:szCs w:val="24"/>
        </w:rPr>
      </w:pPr>
      <w:proofErr w:type="gramStart"/>
      <w:r w:rsidRPr="004E6013">
        <w:rPr>
          <w:sz w:val="24"/>
          <w:szCs w:val="24"/>
        </w:rPr>
        <w:t>поддержанной</w:t>
      </w:r>
      <w:proofErr w:type="gramEnd"/>
      <w:r w:rsidRPr="004E6013">
        <w:rPr>
          <w:sz w:val="24"/>
          <w:szCs w:val="24"/>
        </w:rPr>
        <w:t xml:space="preserve"> Фондом</w:t>
      </w:r>
    </w:p>
    <w:p w:rsidR="00E84D20" w:rsidRPr="004E6013" w:rsidRDefault="00E84D20" w:rsidP="004E6013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7"/>
      </w:tblGrid>
      <w:tr w:rsidR="00454933" w:rsidRPr="004E6013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Профилактика семейного неблагополучия и сохранение семейного окружения</w:t>
            </w:r>
          </w:p>
        </w:tc>
      </w:tr>
      <w:tr w:rsidR="00454933" w:rsidRPr="004E6013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«Ориентир на будущее!» - создание «ситуации успеха» детям, находящимся в трудной жизненной ситуации посредством вовлечения в продуктивную социально-значимую деятельность, повышения уровня независимости и жизнестойкости детей в повседневной жизни</w:t>
            </w:r>
          </w:p>
        </w:tc>
      </w:tr>
      <w:tr w:rsidR="00454933" w:rsidRPr="004E6013" w:rsidTr="002321C4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contextualSpacing/>
              <w:rPr>
                <w:i/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Практика реализуется на всей территории Приморского края: 12 городских округов и 22 муниципальных района Приморского края, что составляет 100% охвата.</w:t>
            </w:r>
          </w:p>
        </w:tc>
      </w:tr>
      <w:tr w:rsidR="00454933" w:rsidRPr="004E6013" w:rsidTr="002321C4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2022-2024</w:t>
            </w:r>
          </w:p>
        </w:tc>
      </w:tr>
      <w:tr w:rsidR="00454933" w:rsidRPr="004E6013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A" w:rsidRPr="004E6013" w:rsidRDefault="002C20CA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Дети из семей, находящихся в трудной жизненной ситуации с 10 до 18 лет; </w:t>
            </w:r>
          </w:p>
          <w:p w:rsidR="002C20CA" w:rsidRPr="004E6013" w:rsidRDefault="002C20CA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Дети из семей, находящихся в социально-опасном положении с 10 до 18 лет; </w:t>
            </w:r>
          </w:p>
          <w:p w:rsidR="002C20CA" w:rsidRPr="004E6013" w:rsidRDefault="002C20CA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-Дети, состоящие на профилактическом учете в учреждениях системы профилактики; </w:t>
            </w:r>
          </w:p>
          <w:p w:rsidR="00454933" w:rsidRPr="004E6013" w:rsidRDefault="002C20CA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- Семьи с детьми, находящиеся в трудной жизненной ситуации и социально - опасном положении.</w:t>
            </w:r>
          </w:p>
        </w:tc>
      </w:tr>
      <w:tr w:rsidR="00454933" w:rsidRPr="004E6013" w:rsidTr="002321C4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shd w:val="clear" w:color="auto" w:fill="FFFFFF"/>
              <w:rPr>
                <w:caps/>
                <w:color w:val="FFFFFF"/>
                <w:spacing w:val="-7"/>
                <w:sz w:val="24"/>
                <w:szCs w:val="24"/>
              </w:rPr>
            </w:pPr>
            <w:r w:rsidRPr="002C20CA">
              <w:rPr>
                <w:spacing w:val="-7"/>
                <w:sz w:val="24"/>
                <w:szCs w:val="24"/>
              </w:rPr>
              <w:t xml:space="preserve">Проблемы целевых групп Неблагополучная семья как фактор риска для ребенка. </w:t>
            </w:r>
            <w:proofErr w:type="gramStart"/>
            <w:r w:rsidRPr="002C20CA">
              <w:rPr>
                <w:spacing w:val="-7"/>
                <w:sz w:val="24"/>
                <w:szCs w:val="24"/>
              </w:rPr>
              <w:t>Выраженная семейная дисфункция способствует формированию семейной роли «носитель симптома неблагополучия», которую принимает на себя член семьи, имеющий в ней наименьший социальный статус из-за разнообразных физических или психологических причин.</w:t>
            </w:r>
            <w:proofErr w:type="gramEnd"/>
            <w:r w:rsidRPr="002C20CA">
              <w:rPr>
                <w:spacing w:val="-7"/>
                <w:sz w:val="24"/>
                <w:szCs w:val="24"/>
              </w:rPr>
              <w:t xml:space="preserve"> В основном это дети. Требуется изменение мировоззрения, ценностных ориентаций членов семьи, чтобы семья могла стать нормальной ячейкой общества. Но необходимо признать, что оказание такой помощи очень сложный и длительный процесс. Такая семья всячески сопротивляется позитивным изменениям, следовательно, надо использовать методы стимулирования мотивации изменения в сознании детей, что является самой главной задачей и самой большой трудностью в работе с такими семьями. Дети из неблагополучных семей чаще остальных попадают в зону психолого-педагогического риска по многим основаниям. Учебная неуспеваемость связана с немотивированными пропусками уроков на фоне бесконтрольности со стороны родителей; </w:t>
            </w:r>
            <w:r w:rsidRPr="002C20CA">
              <w:rPr>
                <w:spacing w:val="-7"/>
                <w:sz w:val="24"/>
                <w:szCs w:val="24"/>
              </w:rPr>
              <w:lastRenderedPageBreak/>
              <w:t xml:space="preserve">нередкие болезни возникают в итоге несоблюдения норм здорового вида жизни; конфликтные формы поведения подростков не что другое, как проекция семейных ссор, злости и жестокости. Незанятость в системе дополнительного образования, т.е. неспособность к самоопределению и самореализации, происходит по вине родителей, которые вначале не дали примера собственных увлечений, не объяснили преимуществ выбранной ими профессии. Поэтому зачастую в </w:t>
            </w:r>
            <w:proofErr w:type="spellStart"/>
            <w:r w:rsidRPr="002C20CA">
              <w:rPr>
                <w:spacing w:val="-7"/>
                <w:sz w:val="24"/>
                <w:szCs w:val="24"/>
              </w:rPr>
              <w:t>дисфункциональной</w:t>
            </w:r>
            <w:proofErr w:type="spellEnd"/>
            <w:r w:rsidRPr="002C20CA">
              <w:rPr>
                <w:spacing w:val="-7"/>
                <w:sz w:val="24"/>
                <w:szCs w:val="24"/>
              </w:rPr>
              <w:t xml:space="preserve"> семье вырастает педагогически запущенный ребенок, безнадежно отставший в учебе, транслирующий двойную мораль, жестокость, злость, ненависть к окружающим, нежелание включаться в систему социальных взаимодействий (обучаться, трудиться). Бывает молодые люди из неблагополучных семей испытывают огромные трудности при появлении собственных семей, которые также строят по образу и </w:t>
            </w:r>
            <w:proofErr w:type="gramStart"/>
            <w:r w:rsidRPr="002C20CA">
              <w:rPr>
                <w:spacing w:val="-7"/>
                <w:sz w:val="24"/>
                <w:szCs w:val="24"/>
              </w:rPr>
              <w:t>подобию</w:t>
            </w:r>
            <w:proofErr w:type="gramEnd"/>
            <w:r w:rsidRPr="002C20CA">
              <w:rPr>
                <w:spacing w:val="-7"/>
                <w:sz w:val="24"/>
                <w:szCs w:val="24"/>
              </w:rPr>
              <w:t xml:space="preserve"> отчего дома. И «симптом неблагополучия» повторяется. Потребности целевых групп Необходимо формирование жизнестойкости и жизненных перспектив у детей, независимо от жизненных обстоятельств. В такой ситуации оказать действенную помощь и поддержку ребенку из неблагополучной семьи поможет использование «ситуации успеха». </w:t>
            </w:r>
            <w:proofErr w:type="gramStart"/>
            <w:r w:rsidRPr="002C20CA">
              <w:rPr>
                <w:spacing w:val="-7"/>
                <w:sz w:val="24"/>
                <w:szCs w:val="24"/>
              </w:rPr>
              <w:t>Используя «ситуацию успеха» как фактор решения проблем ребенка из неблагополучной семьи, достигается улучшение социального самочувствия ребенка и приобретения опыта целесообразного саморегулирования, повышения уровня мотивации к успеху во всех видах деятельности и уровня самореализации и самоутверждения в семье, коллективе сверстников и более широком социуме.</w:t>
            </w:r>
            <w:proofErr w:type="gramEnd"/>
            <w:r w:rsidRPr="002C20CA">
              <w:rPr>
                <w:spacing w:val="-7"/>
                <w:sz w:val="24"/>
                <w:szCs w:val="24"/>
              </w:rPr>
              <w:t xml:space="preserve"> Эффективное решение проблемы: изменение социальной среды детей, адаптация к новым (иным) условиям жизни, способность самостоятельно справляться с ситуацией, проработка эмоциональных переживаний, интеграция полученного опыта, появление у ребенка новых знакомых, приятелей, друзей, расширение круга интересов, повышение внутренних и внешних ресурсов, улучшение детско-родительских, внутрисемейных отношений.</w:t>
            </w:r>
          </w:p>
        </w:tc>
      </w:tr>
      <w:tr w:rsidR="00454933" w:rsidRPr="004E6013" w:rsidTr="006D03B7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lastRenderedPageBreak/>
              <w:t>Социальная значимость и обоснованность 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Данная практика способствуют формированию и укреплению необходимых социальных и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жизненных навыков не только ребенка, но и его членов его семьи, умения делать осознанный выбор в пользу позитивного поведения.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Создание «ситуации успеха» в различных областях (спорте, творчестве, обучении, профессиональных навыках, ресурсных моментов функционирования родительской семьи и т.п.) для ребенка позволяет продемонстрировать ему альтернативные паттерны поведения, формы полезной занятости, способы реагирования на жизненные ситуации, сместить фокус стремлений и ценностных ориентаций на позитивные.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Вовлечение родителей или других членов семьи в реабилитационный процесс, направленный на создание «ситуации успеха» для ребенка, позволяет зафиксировать ресурсные ситуации конструктивного функционирования семейной системы. Возможно, выхода семьи в социальное благополучие не произойдет, но те ресурсные ситуации, которые будут сформированы в «ситуации успеха» при психологической помощи и поддержке, станут позитивной опорой при формировании личности детей. Практика позволяет применять стратегии, которые мобилизуют общественные ресурсы, что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позволяет обеспечивать безопасность детей по месту проживания и содействует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оперативному оказанию семьям необходимой помощи, в том числе с целью расширения их возможностей и снижению вероятности распада семьи. Важной особенностью практики является комплексность, системность и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пролонгированность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помощи.</w:t>
            </w:r>
          </w:p>
        </w:tc>
      </w:tr>
      <w:tr w:rsidR="00454933" w:rsidRPr="004E6013" w:rsidTr="006D03B7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Создание «ситуации успеха» детям, находящимся в трудной жизненной ситуации и социально-опасном положении посредством вовлечения в продуктивную социально-значимую деятельность, повышения уровня независимости и жизнестойкости детей в повседневной жизни, как фактора успешной социализации семьи в целом.</w:t>
            </w:r>
          </w:p>
        </w:tc>
      </w:tr>
      <w:tr w:rsidR="00454933" w:rsidRPr="004E6013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Задачи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contextualSpacing/>
              <w:rPr>
                <w:i/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1. Создание адаптивной поддерживающей среды, обеспечивающей повышение уровня жизненных навыков несовершеннолетних посредством расширения интегрированного взаимодействия. 2. Разработка и внедрение реабилитационных программ для детей на основе использования новых методик и технологий, позволяющих повысить качество жизнедеятельности. 3. Улучшение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взаимоотношений родителей и детей, через организацию временной совместной жизнедеятельности в рамках иной социальной среды, создающей благоприятные условия для нормализации детско-родительских взаимоотношений и самореализации каждого. 4. Повышение устойчивости семьи через создание служб поддержки, организацию мероприятий по повышению родительских компетенций; содействие укреплению престижа семьи.</w:t>
            </w:r>
          </w:p>
        </w:tc>
      </w:tr>
      <w:tr w:rsidR="00454933" w:rsidRPr="004E6013" w:rsidTr="002321C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lastRenderedPageBreak/>
              <w:t>Социальные результаты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 более 3000 детей в год получают индивидуальную психологическую помощь, направленную на стабилизацию психоэмоционального состояния, повышение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ресурсности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, решения других запросов; - открыт подростковый клуб «Атмосфера» в городе Владивостоке, в котором стали участниками 289 подростков; - в 10 учреждениях социального обслуживания семьи и детей ежегодно более 1800 подростков занимаются в профессиональных мастерских: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«Швейное мастерство», «Кулинарное искусство», «Гончарное дело», «Парикмахерская студия», «Мультипликационная школа», «Издательское дело», «Столярное дело», «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Минитипография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» - создан Виртуальный кабинет профориентации - комплексная система по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помощи несовершеннолетним и их семьям, куда обратились более 130 детей; - более 700 семей обслуживаются в Службах сопровождения семей с детьми в учреждениях социального обслуживания; - 45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форсайт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-сессий помогли 451 подростку определить образ будущего;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- 122 эксперта выступили в офлайн и онлайн формате в рамках мероприятия «Ты тоже сможешь» по обмену опытом о достижении успеха в различных областях для 836 подростков; -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реализация программы «Стоп-угроза» или правила личной безопасности» позволила оказать помощь по профилактике различного вида небезопасного поведения для 1830 учащихся образовательных учреждений и оказать индивидуальную помощь в разрешении ситуации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по типу работы со случаем для 93 несовершеннолетних; - организованы группы для прохождения тренингов на формирование жизнестойкости и временных перспектив для 91 ребенка;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- налажено социальное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партнерство и сетевое взаимодействие с учреждениями и предприятиями Приморского края, с целью приобретения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подростакми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новых профессиональных компетенций (организация профессиональных проб, экскурсий); - 52 подростка посещают детскую службу социальной журналистики «Зеркало»; - 263 семьи получили психотерапевтическую помощь посредством специалистов службы «Семейная терапия», открытых в 5 учреждениях помощи семье и детям; - около 50 детей ежегодно посещают занятия с использованием технологии социального театра; - более 300 детей стали участниками клуба примирения «Единство»; - проведены занятия с 530 девочками - подростками по социально-реабилитационным программам, которые направлены на сохранение и укрепление репродуктивного здоровья. В ходе реализации практики отмечены значительные качественные результаты для целевых групп: - Приобретение подростками положительного опыта, привычки мыслить и действовать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проактивно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лучшение эмоционального состояния семьи, расширение возможностей социальной интеграции, применение эффективных стратегий реагирования на жизненные ситуации, смягчение остроты социально-бытовых проблем, снижение ощущения социального имущественного неравенства. - Повышение авторитета подростков среди сверстников и учителей, повышение школьной мотивации, увеличение познавательной активности. - Снижение случаев проявления агрессивности, жестокости у детей и подростков, явлений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моббинга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) в подростковой среде</w:t>
            </w:r>
          </w:p>
        </w:tc>
      </w:tr>
      <w:tr w:rsidR="00454933" w:rsidRPr="004E6013" w:rsidTr="002321C4">
        <w:trPr>
          <w:trHeight w:val="2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4E6013" w:rsidRDefault="00454933" w:rsidP="004E601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lastRenderedPageBreak/>
              <w:t xml:space="preserve">Краткое описание практики </w:t>
            </w:r>
          </w:p>
          <w:p w:rsidR="00454933" w:rsidRPr="004E6013" w:rsidRDefault="00454933" w:rsidP="004E601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2C20CA" w:rsidP="004E6013">
            <w:pPr>
              <w:contextualSpacing/>
              <w:jc w:val="both"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Социальная практика поддержана Министерством труда и социальной политики Приморского края, реализуется на всех территориях региона, исполнителями и координаторами являются краевые учреждения социального обслуживания семей и детей Приморского края. Практика подразумевает реализацию системной целевой модели по нескольким направлениям в соответствии с задачами и потребностями целевых групп: - проведение мониторинга с целью выявления уровня социального благополучия ребенка в семье (анкетирование, опросы, в том числе опора на мнение и потребности, высказанные самими детьми и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т.д.); - реализация технологии изменения социальной среды через организацию разных форматов позитивной занятости детей (подростковые клубы, пространства, центры, социальные гостиные, профцентры и т.д.); - реализация в учреждениях социального обслуживания семьи и детей проекта «Социальный лифт для каждого» - целенаправленная работа по привлечению детей групп социального риска в активную деятельность, направленную на изменение своего статуса и положения в обществе, на удовлетворение своих интересов и прав, решение собственных проблем; -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реализация технологии «равный равному», направленной на формирование мотивации и навыков, способствующих развитию осознанного, ответственного и безопасного поведения путем привлечения активных и творческих подростков; - реализация технологии позитивной коммуникации, навыков конструктивного общения, формирование эффективных стратегий реагирования на жизненные ситуации;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помощь несовершеннолетним и их семьям, направленная на формирование позитивных интересов, жизненных ценностей, перспектив профессионального самоопределения и достижения личного профессионального успеха в будущем несовершеннолетних; -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организация деятельности, направленной на формирование практических навыков безопасного поведения ребёнка в повседневной жизни, профилактику любой формы насилия (семейного,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моббинга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селфхарма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кибербуллинга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и т.д.), развитие сознательного и ответственного отношения к вопросам личной безопасности и безопасности окружающих; - реализация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трансдисциплинарного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подхода в построении реабилитационного маршрута семьи – работа со случаем; - оказание помощи семье посредством деятельности служб помощи: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«Мобильной кризисной службы», «Друг, помощник, консультант», «Социальный патруль», «Семейная терапия», Служба социального сопровождения; - организация работы по созданию возможностей для разносторонней самореализации подростков; - работа по восстановительным программам (программа примирения, круги заботы, программа ролевого моделирования,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программа творческого взаимодействия сторон, педагогические конференции);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- реализация программ, направленных на обучение культурно-гигиенических навыков, способствующих сохранению и укреплению репродуктивного здоровья, профилактику раннего материнства, абортов, беспорядочных половых связей;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рганизация широкомасштабной информационной компании, с целью привлечения подростков в созданные творческие и игровые локации; - оказание психологической помощи детям и семьям, через психологические тренинги, деятельность социального театра, групповые психологические занятия, индивидуальные сеансы психотерапии, проведение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форсайт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-сессий, деятельность «арт-студии «Исцеляющее творчество», тренинга на формирование жизнестойкости и временных перспектив. https://vk.com/wall-211357328_72 https://arslastochka.ucoz.ru/news/zanjatie_dlja_devochek_podrostkov_po_programme_reproduktivnoe_zdorove/2023-08-25-889 https://спасск-срцн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ф/gazeta/kgbuso-spasskiy-srtsn/ https://arslastochka.ucoz.ru/news/ehkskursija_v_pozharnuju_chast/2023-07-06-863 https://t.me/srcn_parusnad_vl/2901</w:t>
            </w:r>
          </w:p>
        </w:tc>
      </w:tr>
      <w:tr w:rsidR="00454933" w:rsidRPr="004E6013" w:rsidTr="002321C4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Подготовительный: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разработка региональных мероприятий по внедрению практики;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разработка нормативно-правовой базы для внедрения практики и выстраивания межведомственного взаимодействия;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определение ресурсов и возможностей для внедрения мероприятий практики на территории расположения социально-реабилитационного центра для несовершеннолетних или закрепленных за ним территориях;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анализ штатной численности социально-реабилитационных центров для несовершеннолетних, внесение изменений при необходимости;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создание межведомственных рабочих групп по обеспечению реализации мероприятий практики; - заключение соглашений о сотрудничестве с предприятиями и организациями — партнерами, участвующими в реализации практики;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приобретение необходимого оборудования; - обучение специалистов;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определение площадки для Ресурсного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центра; - методическое обеспечение направлений практики, реализации технологий.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Основной этап - внедрение практики: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проведение круглых столов, сетевых встреч со специалистами организаций - партнеров, направленных на обеспечение эффективности межведомственного взаимодействия по реализации мероприятий практики;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информационная и рекламная кампания, направленная на получателей услуг;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организационные и управленческие решения по открытию и расширению функциональных инструментов обслуживания стационарных и выездных служб помощи в муниципальных образованиях Приморского края;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внедрение дополнительных современных методов и технологий, применяемых в работе с целевой группой;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развитие регионального Ресурсного центра по поддержке и развитию эффективных технологий и методик в сфере защиты детства;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системное проведение обучающих мероприятий для специалистов, реализующих мероприятия практики для целевой группы.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Итоговый этап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анализ эффективности социальной практики: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- определение перспектив практики;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- изучение отзывов и предложений, анкет обратной связи участников;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оценка качества предоставления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социальных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услуг;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- оценка социального эффекта реализации практики; 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- мониторинг реализации мероприятий практики и достижения запланированных показателей;</w:t>
            </w:r>
          </w:p>
          <w:p w:rsidR="00454933" w:rsidRPr="004E6013" w:rsidRDefault="004E601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- анализ перспектив внедрения и реализации мероприятий практики на других территориях Приморского края.</w:t>
            </w:r>
          </w:p>
        </w:tc>
      </w:tr>
      <w:tr w:rsidR="00454933" w:rsidRPr="004E6013" w:rsidTr="002321C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4E6013"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  <w:r w:rsidRPr="004E6013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z w:val="24"/>
                <w:szCs w:val="24"/>
              </w:rPr>
            </w:pP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Финансовое обеспечение: - государственное финансирование, мероприятия социальной практики финансируются из средств краевого бюджета, а также средств Фонд поддержки детей, находящихся в трудной жизненной ситуации и средств благотворителей; Материально - техническое обеспечение: автотранспорт, помещение, игровое, спортивное, мультимедийное,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реабилитационное оборудование, инвентарь, компьютерная техника, оргтехника, теле-, аудио-, видео, фото-техника, диагностические методики, программно-методические, электронно-образовательные ресурсы, мебель и бытовая техника для оборудования помещений;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Методическое обеспечение: образовательные программы, проекты, сценарные планы акций, методические рекомендации, алгоритмы, проектные идеи и специализированная литература.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Программы: комплексное сопровождение ребенка, пострадавшего от жестокого обращения «Детям - добрые руки», программы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мастерских, по организации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мастерских для несовершеннолетних, программа социального театра «Театральный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», формирование навыков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медиабезопасности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подростков «Интернет без бед», программа социальной журналистики «Зеркало», программа клуба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примирирения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«Единство», программа подросткового клуба «Атмосфера», программа «Стоп-угроза» или правила личной безопасности», программа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тренинговых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занятий по формированию жизнестойкости и временных перспектив.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Информационное обеспечение: публикации в СМИ, бегущая строка в городском общественном транспорте, социальные сети, буклеты и информационные листы, информация на сайте во вкладке ресурсного центра; Кадровое обеспечение: педагоги - психологи, специалисты по социальной работе, специалисты по работе с семьей, педагоги дополнительного образования, инструкторы по труду, волонтеры. Цифровые ресурсы: сайт Ресурсного центра по поддержке и развитию эффективных технологий и методик в сфере защиты детства.</w:t>
            </w:r>
          </w:p>
        </w:tc>
      </w:tr>
      <w:tr w:rsidR="00454933" w:rsidRPr="004E6013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4E6013">
              <w:rPr>
                <w:iCs/>
                <w:sz w:val="24"/>
                <w:szCs w:val="24"/>
              </w:rPr>
              <w:lastRenderedPageBreak/>
              <w:t xml:space="preserve">Публичность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hyperlink r:id="rId6" w:history="1">
              <w:r w:rsidRPr="004E601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https://t.me/lastochka_srcn</w:t>
              </w:r>
            </w:hyperlink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 </w:t>
            </w:r>
          </w:p>
          <w:p w:rsidR="004E6013" w:rsidRPr="004E6013" w:rsidRDefault="004E6013" w:rsidP="004E6013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4E601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https://vk.com/public211357328</w:t>
              </w:r>
            </w:hyperlink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 </w:t>
            </w:r>
          </w:p>
          <w:p w:rsidR="00454933" w:rsidRPr="004E6013" w:rsidRDefault="004E601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4E601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https://ok.ru/zdesdetiob</w:t>
              </w:r>
            </w:hyperlink>
          </w:p>
        </w:tc>
      </w:tr>
      <w:tr w:rsidR="00454933" w:rsidRPr="004E6013" w:rsidTr="002321C4">
        <w:trPr>
          <w:trHeight w:val="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4E6013">
              <w:rPr>
                <w:iCs/>
                <w:sz w:val="24"/>
                <w:szCs w:val="24"/>
              </w:rPr>
              <w:t xml:space="preserve">Организации – партнеры </w:t>
            </w:r>
            <w:r w:rsidRPr="004E6013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Более 150 учреждений образования, 29 учреждений здравоохранения, НКО, родительские сообщества, Приморское региональное отделение ВОД «Матери России», праздничные агентства, эксперты с разных сфер деятельности,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Медиахолдинг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«Орбита», с МБУ Краеведческий музей имени Н.И. Береговой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Спасск-Дальний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;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представители Совета молодых специалистов </w:t>
            </w: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АО «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Спасскцемент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», АНО «Центр молодежных инициатив», Дома молодежи, волонтеры, Дальневосточное главное управление Банка России, Храм Казанской иконы Божьей матери г. Владивостока, краевой дом молодёжи, департамент молодёжной политики администрации г. </w:t>
            </w:r>
            <w:bookmarkStart w:id="0" w:name="_GoBack"/>
            <w:bookmarkEnd w:id="0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Владивостока, отдел организации работы с молодежью МКУ «Молодежный ресурсный центр администрации г. Владивостока, общественное движение Приморского края «Физкультура и спорт».</w:t>
            </w:r>
            <w:proofErr w:type="gramEnd"/>
          </w:p>
        </w:tc>
      </w:tr>
      <w:tr w:rsidR="00454933" w:rsidRPr="004E6013" w:rsidTr="002321C4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4E6013" w:rsidRDefault="00454933" w:rsidP="004E6013">
            <w:pPr>
              <w:contextualSpacing/>
              <w:jc w:val="both"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lastRenderedPageBreak/>
              <w:t>Визуальное представление практики:</w:t>
            </w:r>
          </w:p>
          <w:p w:rsidR="00454933" w:rsidRPr="004E6013" w:rsidRDefault="00454933" w:rsidP="004E6013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trike/>
                <w:sz w:val="24"/>
                <w:szCs w:val="24"/>
              </w:rPr>
            </w:pPr>
            <w:hyperlink r:id="rId9" w:history="1">
              <w:r w:rsidRPr="004E601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https://cloud.mail.ru/public/iJ63/Q6g9Cycdh</w:t>
              </w:r>
            </w:hyperlink>
          </w:p>
        </w:tc>
      </w:tr>
      <w:tr w:rsidR="00454933" w:rsidRPr="004E6013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left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 xml:space="preserve">презентация в формате </w:t>
            </w:r>
            <w:r w:rsidRPr="004E6013">
              <w:rPr>
                <w:sz w:val="24"/>
                <w:szCs w:val="24"/>
                <w:lang w:val="en-US"/>
              </w:rPr>
              <w:t>Microsoft</w:t>
            </w:r>
            <w:r w:rsidRPr="004E6013">
              <w:rPr>
                <w:sz w:val="24"/>
                <w:szCs w:val="24"/>
              </w:rPr>
              <w:t xml:space="preserve"> </w:t>
            </w:r>
            <w:r w:rsidRPr="004E6013">
              <w:rPr>
                <w:sz w:val="24"/>
                <w:szCs w:val="24"/>
                <w:lang w:val="en-US"/>
              </w:rPr>
              <w:t>PowerPoint</w:t>
            </w:r>
            <w:r w:rsidRPr="004E6013">
              <w:rPr>
                <w:sz w:val="24"/>
                <w:szCs w:val="24"/>
              </w:rPr>
              <w:t xml:space="preserve"> (.</w:t>
            </w:r>
            <w:proofErr w:type="spellStart"/>
            <w:r w:rsidRPr="004E6013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4E6013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left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pStyle w:val="Default"/>
              <w:ind w:left="601"/>
              <w:rPr>
                <w:rFonts w:eastAsia="Times New Roman"/>
                <w:lang w:eastAsia="ru-RU"/>
              </w:rPr>
            </w:pPr>
            <w:r w:rsidRPr="004E6013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454933" w:rsidRPr="004E6013" w:rsidRDefault="00454933" w:rsidP="004E6013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4E6013">
              <w:rPr>
                <w:rFonts w:eastAsia="Times New Roman"/>
                <w:i/>
                <w:lang w:eastAsia="ru-RU"/>
              </w:rPr>
              <w:t>(</w:t>
            </w:r>
            <w:r w:rsidRPr="004E6013">
              <w:rPr>
                <w:i/>
              </w:rPr>
              <w:t xml:space="preserve">JPG или TIFF,  300 </w:t>
            </w:r>
            <w:proofErr w:type="spellStart"/>
            <w:r w:rsidRPr="004E6013">
              <w:rPr>
                <w:i/>
              </w:rPr>
              <w:t>dpi</w:t>
            </w:r>
            <w:proofErr w:type="spellEnd"/>
            <w:r w:rsidRPr="004E6013">
              <w:rPr>
                <w:i/>
              </w:rPr>
              <w:t xml:space="preserve">,  размер фотографии больше 4 </w:t>
            </w:r>
            <w:proofErr w:type="spellStart"/>
            <w:r w:rsidRPr="004E6013">
              <w:rPr>
                <w:i/>
              </w:rPr>
              <w:t>мб</w:t>
            </w:r>
            <w:proofErr w:type="spellEnd"/>
            <w:r w:rsidRPr="004E6013"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left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 xml:space="preserve">видеоролик  </w:t>
            </w:r>
          </w:p>
          <w:p w:rsidR="00454933" w:rsidRPr="004E6013" w:rsidRDefault="0045493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(</w:t>
            </w:r>
            <w:r w:rsidRPr="004E6013">
              <w:rPr>
                <w:i/>
                <w:sz w:val="24"/>
                <w:szCs w:val="24"/>
              </w:rPr>
              <w:t>длительность  не более 2 минут)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left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 xml:space="preserve">другое </w:t>
            </w:r>
            <w:r w:rsidRPr="004E6013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4E6013" w:rsidRDefault="0045493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jc w:val="both"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 xml:space="preserve">Отзывы </w:t>
            </w:r>
            <w:proofErr w:type="spellStart"/>
            <w:r w:rsidRPr="004E6013">
              <w:rPr>
                <w:sz w:val="24"/>
                <w:szCs w:val="24"/>
              </w:rPr>
              <w:t>благополучателей</w:t>
            </w:r>
            <w:proofErr w:type="spellEnd"/>
            <w:r w:rsidRPr="004E6013">
              <w:rPr>
                <w:sz w:val="24"/>
                <w:szCs w:val="24"/>
              </w:rPr>
              <w:t xml:space="preserve">, специалистов-практиков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i/>
                <w:sz w:val="24"/>
                <w:szCs w:val="24"/>
              </w:rPr>
            </w:pPr>
            <w:hyperlink r:id="rId10" w:history="1">
              <w:r w:rsidRPr="004E601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https://cloud.mail.ru/public/bqfi/HfFVqie4k</w:t>
              </w:r>
            </w:hyperlink>
          </w:p>
        </w:tc>
      </w:tr>
      <w:tr w:rsidR="00454933" w:rsidRPr="004E6013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jc w:val="both"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 xml:space="preserve">Ключевые слова </w:t>
            </w:r>
            <w:r w:rsidRPr="004E6013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Сведения об организации</w:t>
            </w:r>
          </w:p>
        </w:tc>
      </w:tr>
      <w:tr w:rsidR="00454933" w:rsidRPr="004E6013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4E6013" w:rsidRDefault="00454933" w:rsidP="004E60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Краевое государственное автономное учреждение 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социального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обслуживания «Арсеньевский социально-реабилитационный центр для несовершеннолетних «Ласточка» (КГАУСО «Арсеньевский СРЦН «Ласточка»)</w:t>
            </w:r>
          </w:p>
        </w:tc>
      </w:tr>
      <w:tr w:rsidR="00454933" w:rsidRPr="004E6013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contextualSpacing/>
              <w:rPr>
                <w:strike/>
                <w:sz w:val="24"/>
                <w:szCs w:val="24"/>
              </w:rPr>
            </w:pPr>
          </w:p>
        </w:tc>
      </w:tr>
      <w:tr w:rsidR="00454933" w:rsidRPr="004E6013" w:rsidTr="002321C4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pStyle w:val="a7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13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trike/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692343, Приморский край, </w:t>
            </w: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рсеньев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, ул.Лысенко,3.</w:t>
            </w:r>
          </w:p>
        </w:tc>
      </w:tr>
      <w:tr w:rsidR="00454933" w:rsidRPr="004E6013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firstLine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Белоцерковец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Инна Святославовна</w:t>
            </w:r>
          </w:p>
        </w:tc>
      </w:tr>
      <w:tr w:rsidR="00454933" w:rsidRPr="004E6013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firstLine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i/>
                <w:sz w:val="24"/>
                <w:szCs w:val="24"/>
              </w:rPr>
            </w:pPr>
            <w:proofErr w:type="spellStart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Парфенюк</w:t>
            </w:r>
            <w:proofErr w:type="spellEnd"/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 xml:space="preserve"> Валентина Леонидовна, заместитель директора</w:t>
            </w:r>
          </w:p>
        </w:tc>
      </w:tr>
      <w:tr w:rsidR="00454933" w:rsidRPr="004E6013" w:rsidTr="002321C4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firstLine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trike/>
                <w:sz w:val="24"/>
                <w:szCs w:val="24"/>
              </w:rPr>
            </w:pPr>
            <w:r w:rsidRPr="004E6013">
              <w:rPr>
                <w:spacing w:val="-7"/>
                <w:sz w:val="24"/>
                <w:szCs w:val="24"/>
                <w:shd w:val="clear" w:color="auto" w:fill="FFFFFF"/>
              </w:rPr>
              <w:t>cbars@list.ru</w:t>
            </w:r>
          </w:p>
        </w:tc>
      </w:tr>
      <w:tr w:rsidR="00454933" w:rsidRPr="004E6013" w:rsidTr="002321C4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54933" w:rsidP="004E6013">
            <w:pPr>
              <w:ind w:firstLine="601"/>
              <w:contextualSpacing/>
              <w:rPr>
                <w:sz w:val="24"/>
                <w:szCs w:val="24"/>
              </w:rPr>
            </w:pPr>
            <w:r w:rsidRPr="004E6013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E6013" w:rsidRDefault="004E6013" w:rsidP="004E6013">
            <w:pPr>
              <w:contextualSpacing/>
              <w:rPr>
                <w:strike/>
                <w:sz w:val="24"/>
                <w:szCs w:val="24"/>
              </w:rPr>
            </w:pPr>
            <w:hyperlink r:id="rId11" w:history="1">
              <w:r w:rsidRPr="004E6013">
                <w:rPr>
                  <w:rStyle w:val="a3"/>
                  <w:color w:val="54B848"/>
                  <w:spacing w:val="-7"/>
                  <w:sz w:val="24"/>
                  <w:szCs w:val="24"/>
                  <w:u w:val="none"/>
                  <w:shd w:val="clear" w:color="auto" w:fill="FFFFFF"/>
                </w:rPr>
                <w:t>https://arslastochka.ucoz.ru/</w:t>
              </w:r>
            </w:hyperlink>
          </w:p>
        </w:tc>
      </w:tr>
    </w:tbl>
    <w:p w:rsidR="000637AA" w:rsidRPr="004E6013" w:rsidRDefault="00454933" w:rsidP="004E6013">
      <w:pPr>
        <w:contextualSpacing/>
        <w:jc w:val="both"/>
        <w:rPr>
          <w:i/>
          <w:sz w:val="24"/>
          <w:szCs w:val="24"/>
        </w:rPr>
      </w:pPr>
      <w:r w:rsidRPr="004E6013">
        <w:rPr>
          <w:i/>
          <w:sz w:val="24"/>
          <w:szCs w:val="24"/>
        </w:rPr>
        <w:t xml:space="preserve"> </w:t>
      </w:r>
    </w:p>
    <w:sectPr w:rsidR="000637AA" w:rsidRPr="004E6013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2"/>
    <w:rsid w:val="00006FBD"/>
    <w:rsid w:val="000637AA"/>
    <w:rsid w:val="0008329A"/>
    <w:rsid w:val="000E6CFF"/>
    <w:rsid w:val="00144CD3"/>
    <w:rsid w:val="00166CB3"/>
    <w:rsid w:val="001A7C3E"/>
    <w:rsid w:val="002172B7"/>
    <w:rsid w:val="00242995"/>
    <w:rsid w:val="002524E4"/>
    <w:rsid w:val="00262EE6"/>
    <w:rsid w:val="00282712"/>
    <w:rsid w:val="002C20CA"/>
    <w:rsid w:val="002D0134"/>
    <w:rsid w:val="002F4E61"/>
    <w:rsid w:val="00357372"/>
    <w:rsid w:val="00361513"/>
    <w:rsid w:val="00395957"/>
    <w:rsid w:val="003A0A7D"/>
    <w:rsid w:val="00435BF2"/>
    <w:rsid w:val="00454933"/>
    <w:rsid w:val="004E37E8"/>
    <w:rsid w:val="004E6013"/>
    <w:rsid w:val="004F77CD"/>
    <w:rsid w:val="00562301"/>
    <w:rsid w:val="005771BC"/>
    <w:rsid w:val="006524F1"/>
    <w:rsid w:val="006D03B7"/>
    <w:rsid w:val="006F7279"/>
    <w:rsid w:val="00700D85"/>
    <w:rsid w:val="0070334C"/>
    <w:rsid w:val="00733396"/>
    <w:rsid w:val="00775942"/>
    <w:rsid w:val="007E0CDE"/>
    <w:rsid w:val="00867206"/>
    <w:rsid w:val="008A12B8"/>
    <w:rsid w:val="00930D01"/>
    <w:rsid w:val="00946D4E"/>
    <w:rsid w:val="00964428"/>
    <w:rsid w:val="009A1A24"/>
    <w:rsid w:val="009F7F2D"/>
    <w:rsid w:val="00A71C09"/>
    <w:rsid w:val="00AE64A1"/>
    <w:rsid w:val="00B212F7"/>
    <w:rsid w:val="00B3514D"/>
    <w:rsid w:val="00B41B63"/>
    <w:rsid w:val="00BA122A"/>
    <w:rsid w:val="00BA2000"/>
    <w:rsid w:val="00BB6A88"/>
    <w:rsid w:val="00C3396A"/>
    <w:rsid w:val="00C4109F"/>
    <w:rsid w:val="00CA244C"/>
    <w:rsid w:val="00CA7C0F"/>
    <w:rsid w:val="00CC40E9"/>
    <w:rsid w:val="00CC68D0"/>
    <w:rsid w:val="00CE6037"/>
    <w:rsid w:val="00DA746F"/>
    <w:rsid w:val="00E2641C"/>
    <w:rsid w:val="00E84D20"/>
    <w:rsid w:val="00E94777"/>
    <w:rsid w:val="00EA68F0"/>
    <w:rsid w:val="00EE61F2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desdetio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13573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lastochka_srcn" TargetMode="External"/><Relationship Id="rId11" Type="http://schemas.openxmlformats.org/officeDocument/2006/relationships/hyperlink" Target="https://arslastochka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bqfi/HfFVqie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iJ63/Q6g9Cy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F7FE-4260-40BD-8BA0-6A967E81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Артамонова Екатерина Вадимовна</cp:lastModifiedBy>
  <cp:revision>2</cp:revision>
  <cp:lastPrinted>2022-12-28T13:14:00Z</cp:lastPrinted>
  <dcterms:created xsi:type="dcterms:W3CDTF">2024-02-13T09:13:00Z</dcterms:created>
  <dcterms:modified xsi:type="dcterms:W3CDTF">2024-02-13T09:13:00Z</dcterms:modified>
</cp:coreProperties>
</file>